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4C" w:rsidRDefault="00C64E22"/>
    <w:p w:rsidR="00307166" w:rsidRPr="002A3B80" w:rsidRDefault="00307166" w:rsidP="00307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80"/>
        <w:rPr>
          <w:rFonts w:eastAsia="Times New Roman"/>
          <w:b/>
          <w:color w:val="141413"/>
          <w:lang w:val="en-US" w:bidi="en-US"/>
        </w:rPr>
      </w:pPr>
      <w:r>
        <w:rPr>
          <w:rFonts w:eastAsia="Times New Roman"/>
          <w:b/>
          <w:color w:val="141413"/>
          <w:lang w:val="en-US" w:bidi="en-US"/>
        </w:rPr>
        <w:t>SDC ANNUAL REPORT FOR IS 2017</w:t>
      </w:r>
    </w:p>
    <w:p w:rsidR="00307166" w:rsidRDefault="00307166" w:rsidP="00307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80"/>
        <w:rPr>
          <w:rFonts w:eastAsia="Times New Roman" w:cs="Times-Roman"/>
          <w:b/>
          <w:color w:val="141413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327"/>
        <w:gridCol w:w="1877"/>
        <w:gridCol w:w="1617"/>
        <w:gridCol w:w="1570"/>
      </w:tblGrid>
      <w:tr w:rsid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</w:pPr>
            <w:r>
              <w:rPr>
                <w:rFonts w:eastAsia="Times New Roman" w:cs="Times-Roman"/>
                <w:b/>
                <w:color w:val="141413"/>
                <w:lang w:val="en-US" w:bidi="en-US"/>
              </w:rPr>
              <w:t>Project Title: Institutional Strengthening</w:t>
            </w:r>
          </w:p>
        </w:tc>
      </w:tr>
      <w:tr w:rsidR="00307166" w:rsidTr="00F354F1"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</w:pPr>
            <w:r>
              <w:rPr>
                <w:rFonts w:eastAsia="Times New Roman" w:cs="Times-Roman"/>
                <w:b/>
                <w:color w:val="141413"/>
                <w:lang w:bidi="en-US"/>
              </w:rPr>
              <w:t>Name of IP: EPA/NOU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</w:pPr>
            <w:r>
              <w:rPr>
                <w:rFonts w:eastAsia="Times New Roman" w:cs="Times-Roman"/>
                <w:b/>
                <w:color w:val="141413"/>
                <w:lang w:val="en-US" w:bidi="en-US"/>
              </w:rPr>
              <w:t>Date: January</w:t>
            </w:r>
            <w:r>
              <w:rPr>
                <w:rFonts w:eastAsia="Times New Roman" w:cs="Times-Roman"/>
                <w:b/>
                <w:color w:val="141413"/>
                <w:lang w:val="en-US" w:bidi="en-US"/>
              </w:rPr>
              <w:t xml:space="preserve"> – Dec</w:t>
            </w:r>
            <w:r>
              <w:rPr>
                <w:rFonts w:eastAsia="Times New Roman" w:cs="Times-Roman"/>
                <w:b/>
                <w:color w:val="141413"/>
                <w:lang w:val="en-US" w:bidi="en-US"/>
              </w:rPr>
              <w:t>ember</w:t>
            </w:r>
            <w:r>
              <w:rPr>
                <w:rFonts w:eastAsia="Times New Roman" w:cs="Times-Roman"/>
                <w:b/>
                <w:color w:val="141413"/>
                <w:lang w:val="en-US" w:bidi="en-US"/>
              </w:rPr>
              <w:t xml:space="preserve"> 2017</w:t>
            </w:r>
          </w:p>
        </w:tc>
      </w:tr>
      <w:tr w:rsidR="00307166" w:rsidTr="00F354F1"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rFonts w:eastAsia="Times New Roman" w:cs="Times-Roman"/>
                <w:b/>
                <w:color w:val="141413"/>
                <w:lang w:bidi="en-US"/>
              </w:rPr>
            </w:pPr>
            <w:r>
              <w:rPr>
                <w:rFonts w:eastAsia="Times New Roman" w:cs="Times-Roman"/>
                <w:b/>
                <w:color w:val="141413"/>
                <w:lang w:bidi="en-US"/>
              </w:rPr>
              <w:t>Date: 12th December 2017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rFonts w:eastAsia="Times New Roman" w:cs="Times-Roman"/>
                <w:b/>
                <w:color w:val="141413"/>
                <w:lang w:val="en-US" w:bidi="en-US"/>
              </w:rPr>
            </w:pPr>
          </w:p>
        </w:tc>
      </w:tr>
      <w:tr w:rsid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</w:pPr>
            <w:r w:rsidRPr="00624A93">
              <w:rPr>
                <w:rFonts w:eastAsia="Times New Roman" w:cs="Times-Roman"/>
                <w:b/>
                <w:lang w:val="en-US" w:eastAsia="en-CA" w:bidi="en-US"/>
              </w:rPr>
              <w:t>RESULTS PERFORMANCE/ACHIEVEMENTS</w:t>
            </w:r>
          </w:p>
        </w:tc>
      </w:tr>
      <w:tr w:rsidR="00307166" w:rsidTr="00F354F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"/>
                <w:i/>
                <w:lang w:val="en-US" w:eastAsia="en-CA" w:bidi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 xml:space="preserve">Project Results </w:t>
            </w:r>
            <w:r>
              <w:rPr>
                <w:rFonts w:eastAsia="Times New Roman" w:cs="Helvetica"/>
                <w:i/>
                <w:lang w:val="en-US" w:eastAsia="en-CA" w:bidi="en-US"/>
              </w:rPr>
              <w:t xml:space="preserve"> </w:t>
            </w:r>
          </w:p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Helvetica"/>
                <w:i/>
                <w:lang w:val="en-US" w:eastAsia="en-CA" w:bidi="en-US"/>
              </w:rPr>
              <w:t>State project results (outcomes of Output from approved project document or work plan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i/>
                <w:lang w:val="en-US" w:eastAsia="en-CA" w:bidi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>Indicators</w:t>
            </w:r>
            <w:r>
              <w:rPr>
                <w:rFonts w:eastAsia="Times New Roman" w:cs="Helvetica"/>
                <w:i/>
                <w:lang w:val="en-US" w:eastAsia="en-CA" w:bidi="en-US"/>
              </w:rPr>
              <w:t xml:space="preserve"> </w:t>
            </w: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-Roman"/>
                <w:b/>
                <w:lang w:val="en-US" w:eastAsia="en-CA" w:bidi="en-US"/>
              </w:rPr>
            </w:pPr>
            <w:r>
              <w:rPr>
                <w:rFonts w:eastAsia="Times New Roman" w:cs="Helvetica"/>
                <w:i/>
                <w:lang w:val="en-US" w:eastAsia="en-CA" w:bidi="en-US"/>
              </w:rPr>
              <w:t>The  project outcome or output indicators as stated in the M&amp;E Framework and/or AWP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77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Calibri" w:eastAsia="Times New Roman" w:hAnsi="Calibri" w:cs="Helvetica"/>
                <w:i/>
                <w:lang w:val="en-US" w:eastAsia="en-CA" w:bidi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>Target</w:t>
            </w:r>
            <w:r>
              <w:rPr>
                <w:rFonts w:eastAsia="Times New Roman" w:cs="Helvetica"/>
                <w:i/>
                <w:lang w:val="en-US" w:eastAsia="en-CA" w:bidi="en-US"/>
              </w:rPr>
              <w:t xml:space="preserve"> </w:t>
            </w:r>
          </w:p>
          <w:p w:rsidR="00307166" w:rsidRDefault="00307166" w:rsidP="00F354F1">
            <w:pPr>
              <w:widowControl w:val="0"/>
              <w:tabs>
                <w:tab w:val="left" w:pos="77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Helvetica" w:eastAsia="Times New Roman" w:hAnsi="Helvetica" w:cs="Times-Roman"/>
                <w:b/>
                <w:lang w:val="en-US" w:eastAsia="en-CA" w:bidi="en-US"/>
              </w:rPr>
            </w:pPr>
            <w:r>
              <w:rPr>
                <w:rFonts w:eastAsia="Times New Roman" w:cs="Helvetica"/>
                <w:i/>
                <w:lang w:val="en-US" w:eastAsia="en-CA" w:bidi="en-US"/>
              </w:rPr>
              <w:t>Targets agreed by project team on each on each indicator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5600"/>
                <w:tab w:val="left" w:pos="6160"/>
                <w:tab w:val="left" w:pos="6192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i/>
                <w:lang w:val="en-US" w:eastAsia="en-CA" w:bidi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>Update on Results</w:t>
            </w:r>
            <w:r>
              <w:rPr>
                <w:rFonts w:eastAsia="Times New Roman" w:cs="Helvetica"/>
                <w:i/>
                <w:lang w:val="en-US" w:eastAsia="en-CA" w:bidi="en-US"/>
              </w:rPr>
              <w:t xml:space="preserve"> </w:t>
            </w:r>
          </w:p>
          <w:p w:rsidR="00307166" w:rsidRDefault="00307166" w:rsidP="00F354F1">
            <w:pPr>
              <w:widowControl w:val="0"/>
              <w:tabs>
                <w:tab w:val="left" w:pos="5600"/>
                <w:tab w:val="left" w:pos="6160"/>
                <w:tab w:val="left" w:pos="6192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i/>
                <w:lang w:val="en-US" w:eastAsia="en-CA" w:bidi="en-US"/>
              </w:rPr>
            </w:pPr>
            <w:r>
              <w:rPr>
                <w:rFonts w:eastAsia="Times New Roman" w:cs="Helvetica"/>
                <w:i/>
                <w:lang w:val="en-US" w:eastAsia="en-CA" w:bidi="en-US"/>
              </w:rPr>
              <w:t>A brief analysis on any relevant changes pertaining to the outcome or output achieved with respect to targets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27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8" w:right="-90"/>
              <w:jc w:val="both"/>
              <w:rPr>
                <w:rFonts w:ascii="Calibri" w:eastAsia="Times New Roman" w:hAnsi="Calibri" w:cs="Times-Roman"/>
                <w:b/>
                <w:lang w:val="en-US" w:eastAsia="en-CA" w:bidi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>Comments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-Roman"/>
                <w:b/>
                <w:lang w:val="en-US" w:eastAsia="en-CA" w:bidi="en-US"/>
              </w:rPr>
              <w:t>Outputs 1. Ensure Ghana’s compliance with Article 7 and 9 of the Montreal Protocol</w:t>
            </w:r>
          </w:p>
        </w:tc>
      </w:tr>
      <w:tr w:rsidR="00307166" w:rsidRPr="00624A93" w:rsidTr="00F354F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-Roman"/>
                <w:lang w:val="en-US" w:eastAsia="en-CA" w:bidi="en-US"/>
              </w:rPr>
            </w:pPr>
            <w:r>
              <w:rPr>
                <w:rFonts w:eastAsia="Times New Roman" w:cs="Times-Roman"/>
                <w:lang w:val="en-US" w:eastAsia="en-CA" w:bidi="en-US"/>
              </w:rPr>
              <w:t>Collect data of ODS to assess national cons</w:t>
            </w:r>
            <w:r>
              <w:rPr>
                <w:rFonts w:eastAsia="Times New Roman" w:cs="Times-Roman"/>
                <w:lang w:val="en-US" w:eastAsia="en-CA" w:bidi="en-US"/>
              </w:rPr>
              <w:t>umption of CFC for the year 2016</w:t>
            </w: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-Roman"/>
                <w:sz w:val="20"/>
                <w:szCs w:val="20"/>
                <w:lang w:val="en-US" w:eastAsia="en-CA" w:bidi="en-US"/>
              </w:rPr>
            </w:pP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-Roman"/>
                <w:sz w:val="20"/>
                <w:szCs w:val="20"/>
                <w:lang w:val="en-US" w:eastAsia="en-CA" w:bidi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Volumes collected</w:t>
            </w:r>
          </w:p>
          <w:p w:rsidR="00307166" w:rsidRDefault="00307166" w:rsidP="00F354F1">
            <w:pPr>
              <w:spacing w:after="0" w:line="240" w:lineRule="auto"/>
              <w:rPr>
                <w:rFonts w:eastAsia="Calibri"/>
                <w:lang w:val="en-CA"/>
              </w:rPr>
            </w:pP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R22</w:t>
            </w:r>
            <w:r w:rsidRPr="00307166">
              <w:rPr>
                <w:rFonts w:cs="Times New Roman"/>
                <w:lang w:val="en-GB"/>
              </w:rPr>
              <w:tab/>
              <w:t>- 318,372kg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R134a</w:t>
            </w:r>
            <w:r w:rsidRPr="00307166">
              <w:rPr>
                <w:rFonts w:cs="Times New Roman"/>
                <w:lang w:val="en-GB"/>
              </w:rPr>
              <w:tab/>
              <w:t>- 185529kg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R404</w:t>
            </w:r>
            <w:r w:rsidRPr="00307166">
              <w:rPr>
                <w:rFonts w:cs="Times New Roman"/>
                <w:lang w:val="en-GB"/>
              </w:rPr>
              <w:tab/>
              <w:t>- 9114kg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R406</w:t>
            </w:r>
            <w:r w:rsidRPr="00307166">
              <w:rPr>
                <w:rFonts w:cs="Times New Roman"/>
                <w:lang w:val="en-GB"/>
              </w:rPr>
              <w:tab/>
              <w:t>- 52520kg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R407c</w:t>
            </w:r>
            <w:r w:rsidRPr="00307166">
              <w:rPr>
                <w:rFonts w:cs="Times New Roman"/>
                <w:lang w:val="en-GB"/>
              </w:rPr>
              <w:tab/>
              <w:t>- 3493kg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R410</w:t>
            </w:r>
            <w:r w:rsidRPr="00307166">
              <w:rPr>
                <w:rFonts w:cs="Times New Roman"/>
                <w:lang w:val="en-GB"/>
              </w:rPr>
              <w:tab/>
              <w:t>- 11914kg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R507</w:t>
            </w:r>
            <w:r w:rsidRPr="00307166">
              <w:rPr>
                <w:rFonts w:cs="Times New Roman"/>
                <w:lang w:val="en-GB"/>
              </w:rPr>
              <w:tab/>
              <w:t>- 565kg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R600</w:t>
            </w:r>
            <w:r w:rsidRPr="00307166">
              <w:rPr>
                <w:rFonts w:cs="Times New Roman"/>
                <w:lang w:val="en-GB"/>
              </w:rPr>
              <w:tab/>
              <w:t>- 19715kg</w:t>
            </w:r>
          </w:p>
          <w:p w:rsidR="00307166" w:rsidRPr="00307166" w:rsidRDefault="00307166" w:rsidP="00307166">
            <w:pPr>
              <w:spacing w:after="0"/>
              <w:jc w:val="both"/>
              <w:rPr>
                <w:rFonts w:cs="Times New Roman"/>
                <w:lang w:val="en-GB"/>
              </w:rPr>
            </w:pPr>
            <w:r w:rsidRPr="00307166">
              <w:rPr>
                <w:rFonts w:cs="Times New Roman"/>
                <w:lang w:val="en-GB"/>
              </w:rPr>
              <w:t>R427a</w:t>
            </w:r>
            <w:r w:rsidRPr="00307166">
              <w:rPr>
                <w:rFonts w:cs="Times New Roman"/>
                <w:lang w:val="en-GB"/>
              </w:rPr>
              <w:tab/>
              <w:t>- 24kg</w:t>
            </w:r>
          </w:p>
          <w:p w:rsidR="00307166" w:rsidRPr="000018AF" w:rsidRDefault="00307166" w:rsidP="00307166">
            <w:pPr>
              <w:spacing w:after="0"/>
              <w:jc w:val="both"/>
              <w:rPr>
                <w:rFonts w:cs="Times New Roman"/>
              </w:rPr>
            </w:pPr>
            <w:r w:rsidRPr="000018AF">
              <w:rPr>
                <w:rFonts w:cs="Times New Roman"/>
              </w:rPr>
              <w:t>R134yf- 15kg</w:t>
            </w:r>
          </w:p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i/>
                <w:sz w:val="18"/>
                <w:szCs w:val="14"/>
                <w:lang w:val="en-US" w:eastAsia="en-CA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Times-Roman"/>
                <w:color w:val="141413"/>
                <w:sz w:val="20"/>
                <w:szCs w:val="20"/>
                <w:lang w:val="en-US" w:eastAsia="en-CA" w:bidi="en-US"/>
              </w:rPr>
            </w:pPr>
            <w:r>
              <w:rPr>
                <w:rFonts w:ascii="Helvetica" w:eastAsia="Times New Roman" w:hAnsi="Helvetica" w:cs="Times-Roman"/>
                <w:color w:val="141413"/>
                <w:sz w:val="20"/>
                <w:szCs w:val="20"/>
                <w:lang w:val="en-US" w:eastAsia="en-CA" w:bidi="en-US"/>
              </w:rPr>
              <w:t>Whole country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"/>
                <w:i/>
                <w:color w:val="141413"/>
                <w:sz w:val="18"/>
                <w:szCs w:val="14"/>
                <w:lang w:val="en-US" w:eastAsia="en-CA" w:bidi="en-US"/>
              </w:rPr>
            </w:pPr>
            <w:r>
              <w:rPr>
                <w:lang w:val="en-US"/>
              </w:rPr>
              <w:t xml:space="preserve">Compliant to </w:t>
            </w:r>
            <w:r>
              <w:rPr>
                <w:rFonts w:cs="Arial"/>
                <w:lang w:val="en-US"/>
              </w:rPr>
              <w:t>Ozone Secretariat in Nairobi, Kenya and the Multilateral Fund Secretariat in Montreal, Canada under Article 7 of the Montreal Protocol on Substances the Deplete the Ozone Layer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Reported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307166" w:rsidP="00F354F1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F67E7" w:rsidRDefault="006A2B21" w:rsidP="00F354F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  <w:lang w:val="en-US"/>
              </w:rPr>
              <w:t>Output 2</w:t>
            </w:r>
            <w:r w:rsidRPr="00EE2432">
              <w:rPr>
                <w:b/>
                <w:lang w:val="en-US"/>
              </w:rPr>
              <w:t>. Increase knowledge on the need to protect the ozone layer</w:t>
            </w:r>
          </w:p>
        </w:tc>
      </w:tr>
      <w:tr w:rsidR="006A2B21" w:rsidRPr="00307166" w:rsidTr="00C64E22">
        <w:trPr>
          <w:trHeight w:val="1842"/>
        </w:trPr>
        <w:tc>
          <w:tcPr>
            <w:tcW w:w="1671" w:type="dxa"/>
          </w:tcPr>
          <w:p w:rsidR="006A2B21" w:rsidRDefault="006A2B21" w:rsidP="006A2B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Celebration of the International Day for the Preservation of the Ozone Layer for 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cycle schools </w:t>
            </w:r>
            <w:r w:rsidRPr="00A417B1">
              <w:rPr>
                <w:lang w:val="en-GB"/>
              </w:rPr>
              <w:t xml:space="preserve">on the theme: </w:t>
            </w:r>
            <w:r w:rsidRPr="007F0B84">
              <w:rPr>
                <w:i/>
                <w:lang w:val="en-GB"/>
              </w:rPr>
              <w:t>“</w:t>
            </w:r>
            <w:r>
              <w:rPr>
                <w:i/>
                <w:lang w:val="en-GB"/>
              </w:rPr>
              <w:t>Caring for All life under the sun</w:t>
            </w:r>
            <w:r w:rsidRPr="007F0B84">
              <w:rPr>
                <w:i/>
                <w:lang w:val="en-GB"/>
              </w:rPr>
              <w:t xml:space="preserve">’’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Takoradi</w:t>
            </w:r>
            <w:proofErr w:type="spellEnd"/>
            <w:r>
              <w:rPr>
                <w:lang w:val="en-US"/>
              </w:rPr>
              <w:t xml:space="preserve">, Western </w:t>
            </w:r>
            <w:r>
              <w:rPr>
                <w:lang w:val="en-US"/>
              </w:rPr>
              <w:lastRenderedPageBreak/>
              <w:t>Region</w:t>
            </w:r>
            <w:r>
              <w:rPr>
                <w:lang w:val="en-US"/>
              </w:rPr>
              <w:t>; Koforidua, Eastern region and climaxed at Kumasi, Ashanti region</w:t>
            </w:r>
          </w:p>
        </w:tc>
        <w:tc>
          <w:tcPr>
            <w:tcW w:w="2327" w:type="dxa"/>
          </w:tcPr>
          <w:p w:rsidR="006A2B21" w:rsidRDefault="006A2B21" w:rsidP="006A2B21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lastRenderedPageBreak/>
              <w:t xml:space="preserve">Awareness raising on Ozone Layer preservation </w:t>
            </w:r>
            <w:r>
              <w:rPr>
                <w:rFonts w:cs="Arial"/>
                <w:lang w:val="en-US"/>
              </w:rPr>
              <w:t xml:space="preserve">using educational institutions as a major instrument dissemination </w:t>
            </w:r>
          </w:p>
          <w:p w:rsidR="006A2B21" w:rsidRDefault="006A2B21" w:rsidP="006A2B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77" w:type="dxa"/>
          </w:tcPr>
          <w:p w:rsidR="00C64E22" w:rsidRPr="00C64E22" w:rsidRDefault="00C64E22" w:rsidP="006A2B21">
            <w:pPr>
              <w:spacing w:after="0" w:line="240" w:lineRule="auto"/>
              <w:rPr>
                <w:lang w:val="en-GB"/>
              </w:rPr>
            </w:pPr>
            <w:r w:rsidRPr="00C64E22">
              <w:rPr>
                <w:lang w:val="en-US"/>
              </w:rPr>
              <w:t>1332</w:t>
            </w:r>
            <w:r w:rsidRPr="00C64E22">
              <w:rPr>
                <w:lang w:val="en-GB"/>
              </w:rPr>
              <w:t xml:space="preserve"> students (Male -671; Female- 661;</w:t>
            </w:r>
          </w:p>
          <w:p w:rsidR="006A2B21" w:rsidRPr="00C64E22" w:rsidRDefault="00C64E22" w:rsidP="006A2B21">
            <w:pPr>
              <w:spacing w:after="0" w:line="240" w:lineRule="auto"/>
              <w:rPr>
                <w:lang w:val="en-GB"/>
              </w:rPr>
            </w:pPr>
            <w:r w:rsidRPr="00C64E22">
              <w:rPr>
                <w:lang w:val="en-GB"/>
              </w:rPr>
              <w:t>Teachers-56</w:t>
            </w:r>
            <w:r w:rsidR="006A2B21" w:rsidRPr="00C64E22">
              <w:rPr>
                <w:lang w:val="en-GB"/>
              </w:rPr>
              <w:t>)</w:t>
            </w:r>
          </w:p>
          <w:p w:rsidR="00C64E22" w:rsidRPr="00C64E22" w:rsidRDefault="00C64E22" w:rsidP="006A2B21">
            <w:pPr>
              <w:spacing w:after="0" w:line="240" w:lineRule="auto"/>
              <w:rPr>
                <w:lang w:val="en-GB"/>
              </w:rPr>
            </w:pPr>
          </w:p>
          <w:p w:rsidR="00C64E22" w:rsidRPr="00C64E22" w:rsidRDefault="00C64E22" w:rsidP="006A2B21">
            <w:pPr>
              <w:spacing w:after="0" w:line="240" w:lineRule="auto"/>
              <w:rPr>
                <w:u w:val="single"/>
                <w:lang w:val="en-GB"/>
              </w:rPr>
            </w:pPr>
            <w:proofErr w:type="spellStart"/>
            <w:r w:rsidRPr="00C64E22">
              <w:rPr>
                <w:u w:val="single"/>
                <w:lang w:val="en-GB"/>
              </w:rPr>
              <w:t>Takoradi</w:t>
            </w:r>
            <w:proofErr w:type="spellEnd"/>
          </w:p>
          <w:p w:rsidR="00C64E22" w:rsidRPr="00C64E22" w:rsidRDefault="00C64E22" w:rsidP="006A2B21">
            <w:pPr>
              <w:spacing w:after="0" w:line="240" w:lineRule="auto"/>
              <w:rPr>
                <w:lang w:val="en-GB"/>
              </w:rPr>
            </w:pPr>
            <w:r w:rsidRPr="00C64E22">
              <w:rPr>
                <w:lang w:val="en-GB"/>
              </w:rPr>
              <w:t>Male -240; Female- 170</w:t>
            </w:r>
          </w:p>
          <w:p w:rsidR="00C64E22" w:rsidRPr="00C64E22" w:rsidRDefault="00C64E22" w:rsidP="006A2B21">
            <w:pPr>
              <w:spacing w:after="0" w:line="240" w:lineRule="auto"/>
              <w:rPr>
                <w:lang w:val="en-US"/>
              </w:rPr>
            </w:pPr>
          </w:p>
          <w:p w:rsidR="00C64E22" w:rsidRPr="00C64E22" w:rsidRDefault="00C64E22" w:rsidP="00C64E22">
            <w:pPr>
              <w:spacing w:after="0" w:line="240" w:lineRule="auto"/>
              <w:rPr>
                <w:u w:val="single"/>
                <w:lang w:val="en-GB"/>
              </w:rPr>
            </w:pPr>
            <w:r w:rsidRPr="00C64E22">
              <w:rPr>
                <w:u w:val="single"/>
                <w:lang w:val="en-GB"/>
              </w:rPr>
              <w:t>Kumas</w:t>
            </w:r>
            <w:r w:rsidRPr="00C64E22">
              <w:rPr>
                <w:u w:val="single"/>
                <w:lang w:val="en-GB"/>
              </w:rPr>
              <w:t>i</w:t>
            </w:r>
          </w:p>
          <w:p w:rsidR="00C64E22" w:rsidRPr="00C64E22" w:rsidRDefault="00C64E22" w:rsidP="00C64E22">
            <w:pPr>
              <w:spacing w:after="0" w:line="240" w:lineRule="auto"/>
              <w:rPr>
                <w:lang w:val="en-GB"/>
              </w:rPr>
            </w:pPr>
            <w:r w:rsidRPr="00C64E22">
              <w:rPr>
                <w:lang w:val="en-GB"/>
              </w:rPr>
              <w:t>Male -264; Female- 175</w:t>
            </w:r>
          </w:p>
          <w:p w:rsidR="006A2B21" w:rsidRDefault="006A2B21" w:rsidP="006A2B21">
            <w:pPr>
              <w:spacing w:after="0" w:line="240" w:lineRule="auto"/>
              <w:rPr>
                <w:color w:val="FF0000"/>
                <w:lang w:val="en-GB"/>
              </w:rPr>
            </w:pPr>
          </w:p>
          <w:p w:rsidR="00C64E22" w:rsidRDefault="00C64E22" w:rsidP="006A2B21">
            <w:pPr>
              <w:spacing w:after="0" w:line="240" w:lineRule="auto"/>
              <w:rPr>
                <w:color w:val="FF0000"/>
                <w:lang w:val="en-GB"/>
              </w:rPr>
            </w:pPr>
          </w:p>
          <w:p w:rsidR="00C64E22" w:rsidRPr="00C64E22" w:rsidRDefault="00C64E22" w:rsidP="00C64E22">
            <w:pPr>
              <w:spacing w:after="0" w:line="240" w:lineRule="auto"/>
              <w:rPr>
                <w:u w:val="single"/>
                <w:lang w:val="en-GB"/>
              </w:rPr>
            </w:pPr>
            <w:r w:rsidRPr="00C64E22">
              <w:rPr>
                <w:u w:val="single"/>
                <w:lang w:val="en-GB"/>
              </w:rPr>
              <w:lastRenderedPageBreak/>
              <w:t>Koforidua</w:t>
            </w:r>
          </w:p>
          <w:p w:rsidR="00C64E22" w:rsidRPr="00C64E22" w:rsidRDefault="00C64E22" w:rsidP="00C64E22">
            <w:pPr>
              <w:spacing w:after="0" w:line="240" w:lineRule="auto"/>
              <w:rPr>
                <w:lang w:val="en-GB"/>
              </w:rPr>
            </w:pPr>
            <w:r w:rsidRPr="00C64E22">
              <w:rPr>
                <w:lang w:val="en-GB"/>
              </w:rPr>
              <w:t>Male -211; Female- 333</w:t>
            </w:r>
          </w:p>
          <w:p w:rsidR="00C64E22" w:rsidRPr="00C64E22" w:rsidRDefault="00C64E22" w:rsidP="006A2B21">
            <w:pPr>
              <w:spacing w:after="0" w:line="240" w:lineRule="auto"/>
              <w:rPr>
                <w:color w:val="FF0000"/>
                <w:lang w:val="en-GB"/>
              </w:rPr>
            </w:pPr>
          </w:p>
          <w:p w:rsidR="006A2B21" w:rsidRPr="00C64E22" w:rsidRDefault="006A2B21" w:rsidP="00C64E2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617" w:type="dxa"/>
          </w:tcPr>
          <w:p w:rsidR="006A2B21" w:rsidRPr="00DD727D" w:rsidRDefault="006A2B21" w:rsidP="006A2B21">
            <w:pPr>
              <w:spacing w:line="240" w:lineRule="auto"/>
              <w:outlineLvl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Explained the</w:t>
            </w:r>
            <w:r w:rsidRPr="008F640E">
              <w:rPr>
                <w:rFonts w:cs="Arial"/>
                <w:lang w:val="en-US"/>
              </w:rPr>
              <w:t xml:space="preserve"> causes and effect of ozone depletion, remediate actions, sustainable lifestyles to help reduce the phenomenon and save the ozone layer </w:t>
            </w:r>
            <w:r>
              <w:rPr>
                <w:rFonts w:cs="Arial"/>
                <w:lang w:val="en-US"/>
              </w:rPr>
              <w:t xml:space="preserve">and what </w:t>
            </w:r>
            <w:r>
              <w:rPr>
                <w:rFonts w:cs="Arial"/>
                <w:lang w:val="en-US"/>
              </w:rPr>
              <w:lastRenderedPageBreak/>
              <w:t>Ghana has contributed to the recovery so far.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1" w:rsidRDefault="006A2B21" w:rsidP="006A2B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International celebration by parties under the Montreal Protocol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541501" w:rsidRDefault="006A2B21" w:rsidP="00F354F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US"/>
              </w:rPr>
              <w:t>Output 3</w:t>
            </w:r>
            <w:r w:rsidR="00307166">
              <w:rPr>
                <w:b/>
                <w:lang w:val="en-US"/>
              </w:rPr>
              <w:t xml:space="preserve">. </w:t>
            </w:r>
            <w:r w:rsidR="00307166" w:rsidRPr="00541501">
              <w:rPr>
                <w:b/>
                <w:lang w:val="en-GB"/>
              </w:rPr>
              <w:t>Monitor converted units to ensure no</w:t>
            </w:r>
            <w:r w:rsidR="00307166">
              <w:rPr>
                <w:b/>
                <w:lang w:val="en-GB"/>
              </w:rPr>
              <w:t>n-reversal to run on HCFC (R22)</w:t>
            </w:r>
          </w:p>
        </w:tc>
      </w:tr>
      <w:tr w:rsidR="00307166" w:rsidRPr="00307166" w:rsidTr="00F354F1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B855DC" w:rsidRDefault="00307166" w:rsidP="00F354F1">
            <w:pPr>
              <w:spacing w:after="0" w:line="240" w:lineRule="auto"/>
              <w:rPr>
                <w:color w:val="FF0000"/>
                <w:lang w:val="en-US"/>
              </w:rPr>
            </w:pPr>
            <w:r w:rsidRPr="003F44CC">
              <w:rPr>
                <w:lang w:val="en-US"/>
              </w:rPr>
              <w:t>Conduct monitoring of converted AC units (running on Hydrocarbon R290) in selected regional/district capitals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41501" w:rsidRDefault="00307166" w:rsidP="00F354F1">
            <w:pPr>
              <w:spacing w:after="0" w:line="240" w:lineRule="auto"/>
              <w:rPr>
                <w:rFonts w:asciiTheme="majorHAnsi" w:eastAsia="Times New Roman" w:hAnsiTheme="majorHAnsi" w:cs="Times-Roman"/>
                <w:sz w:val="24"/>
                <w:szCs w:val="24"/>
                <w:lang w:val="en-US" w:bidi="en-US"/>
              </w:rPr>
            </w:pPr>
            <w:r w:rsidRPr="00541501">
              <w:rPr>
                <w:lang w:val="en-GB"/>
              </w:rPr>
              <w:t>This activity is necessary to maintain the status of these converted units and to ensure that the converted units remain safe and intact and</w:t>
            </w:r>
            <w:r w:rsidRPr="00541501">
              <w:rPr>
                <w:rFonts w:asciiTheme="majorHAnsi" w:eastAsia="Times New Roman" w:hAnsiTheme="majorHAnsi" w:cs="Times-Roman"/>
                <w:sz w:val="24"/>
                <w:szCs w:val="24"/>
                <w:lang w:val="en-US" w:bidi="en-US"/>
              </w:rPr>
              <w:t xml:space="preserve"> also ensure compliance to the controls for hydrocarbon use</w:t>
            </w:r>
          </w:p>
          <w:p w:rsidR="00307166" w:rsidRPr="00B855DC" w:rsidRDefault="00307166" w:rsidP="00F354F1">
            <w:pPr>
              <w:spacing w:after="0" w:line="240" w:lineRule="auto"/>
              <w:rPr>
                <w:color w:val="FF0000"/>
                <w:lang w:val="en-US"/>
              </w:rPr>
            </w:pPr>
          </w:p>
          <w:p w:rsidR="00307166" w:rsidRPr="00B855DC" w:rsidRDefault="00307166" w:rsidP="00F354F1">
            <w:pPr>
              <w:spacing w:after="0" w:line="240" w:lineRule="auto"/>
              <w:rPr>
                <w:color w:val="FF0000"/>
                <w:lang w:val="en-US"/>
              </w:rPr>
            </w:pPr>
            <w:r w:rsidRPr="00DD727D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F44F80" w:rsidP="00AF29E1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GB"/>
              </w:rPr>
              <w:t>A total of one (1) region</w:t>
            </w:r>
            <w:r w:rsidR="00307166">
              <w:rPr>
                <w:rFonts w:cs="Arial"/>
                <w:lang w:val="en-GB"/>
              </w:rPr>
              <w:t xml:space="preserve">, Thirteen </w:t>
            </w:r>
            <w:r w:rsidRPr="00F44F80">
              <w:rPr>
                <w:rFonts w:cs="Arial"/>
                <w:lang w:val="en-GB"/>
              </w:rPr>
              <w:t>(10</w:t>
            </w:r>
            <w:r w:rsidR="00307166" w:rsidRPr="00F44F80">
              <w:rPr>
                <w:rFonts w:cs="Arial"/>
                <w:lang w:val="en-GB"/>
              </w:rPr>
              <w:t xml:space="preserve">) </w:t>
            </w:r>
            <w:r w:rsidR="00307166">
              <w:rPr>
                <w:rFonts w:cs="Arial"/>
                <w:lang w:val="en-GB"/>
              </w:rPr>
              <w:t xml:space="preserve">towns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Default="006A2B21" w:rsidP="00F354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On-schedule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6A2B21" w:rsidP="00F354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bidi="en-US"/>
              </w:rPr>
            </w:pPr>
            <w:r>
              <w:rPr>
                <w:rFonts w:eastAsia="Times New Roman"/>
                <w:b/>
                <w:color w:val="003D80"/>
                <w:lang w:val="en-US" w:bidi="en-US"/>
              </w:rPr>
              <w:t xml:space="preserve">2. </w:t>
            </w:r>
            <w:r w:rsidRPr="00DD727D">
              <w:rPr>
                <w:rFonts w:eastAsia="Times New Roman"/>
                <w:b/>
                <w:color w:val="003D80"/>
                <w:lang w:val="en-US" w:bidi="en-US"/>
              </w:rPr>
              <w:t xml:space="preserve">GENDER SPECIFIC RESULTS 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[</w:t>
            </w:r>
            <w:r w:rsidRPr="00DD727D">
              <w:rPr>
                <w:rFonts w:eastAsia="Times New Roman"/>
                <w:i/>
                <w:lang w:val="en-US" w:bidi="en-US"/>
              </w:rPr>
              <w:t>Please report specific gender disaggregated results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]</w:t>
            </w:r>
            <w:r w:rsidRPr="00C6687F">
              <w:rPr>
                <w:rFonts w:eastAsia="Times New Roman"/>
                <w:lang w:val="en-US" w:bidi="en-US"/>
              </w:rPr>
              <w:t xml:space="preserve"> </w:t>
            </w:r>
          </w:p>
          <w:p w:rsidR="00307166" w:rsidRDefault="00C64E22" w:rsidP="00C64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64E22">
              <w:rPr>
                <w:rFonts w:eastAsia="Times New Roman"/>
                <w:lang w:val="en-US" w:bidi="en-US"/>
              </w:rPr>
              <w:t>The awareness outreach however had a sizable number of both genders as the target group are not limited to any particul</w:t>
            </w:r>
            <w:r w:rsidRPr="00C64E22">
              <w:rPr>
                <w:rFonts w:eastAsia="Times New Roman"/>
                <w:lang w:val="en-US" w:bidi="en-US"/>
              </w:rPr>
              <w:t xml:space="preserve">ar sex. </w:t>
            </w:r>
            <w:r w:rsidR="00307166" w:rsidRPr="00C64E22">
              <w:rPr>
                <w:rFonts w:eastAsia="Times New Roman"/>
                <w:lang w:val="en-US" w:bidi="en-US"/>
              </w:rPr>
              <w:t xml:space="preserve">The </w:t>
            </w:r>
            <w:r w:rsidRPr="00C64E22">
              <w:rPr>
                <w:rFonts w:eastAsia="Times New Roman"/>
                <w:lang w:val="en-US" w:bidi="en-US"/>
              </w:rPr>
              <w:t xml:space="preserve">audience were about 50-50 for the seminar as shown above. 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976984" w:rsidRDefault="00307166" w:rsidP="00F35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  <w:r w:rsidRPr="00DD727D">
              <w:rPr>
                <w:rFonts w:eastAsia="Times New Roman"/>
                <w:b/>
                <w:color w:val="003D80"/>
                <w:lang w:val="en-US" w:bidi="en-US"/>
              </w:rPr>
              <w:t xml:space="preserve">PROJECT IMPLEMENTATION CHALLENGES 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[Observed or experienced challenges that are generic, related of not related to any specific output, which have or could affect the project implementation and propose a way forward]</w:t>
            </w:r>
          </w:p>
          <w:p w:rsidR="00307166" w:rsidRPr="00976984" w:rsidRDefault="00307166" w:rsidP="00F354F1">
            <w:pPr>
              <w:pStyle w:val="BodyTextIndent"/>
              <w:ind w:left="0"/>
              <w:rPr>
                <w:rFonts w:asciiTheme="minorHAnsi" w:hAnsiTheme="minorHAnsi"/>
                <w:b/>
                <w:szCs w:val="22"/>
                <w:u w:val="single"/>
                <w:lang w:val="en-GB"/>
              </w:rPr>
            </w:pPr>
            <w:r w:rsidRPr="00976984">
              <w:rPr>
                <w:rFonts w:asciiTheme="minorHAnsi" w:hAnsiTheme="minorHAnsi"/>
                <w:szCs w:val="22"/>
                <w:lang w:val="en-GB"/>
              </w:rPr>
              <w:t xml:space="preserve">Data collection for ODS consumption is particularly challenging as, </w:t>
            </w:r>
          </w:p>
          <w:p w:rsidR="00F44F80" w:rsidRPr="00F44F80" w:rsidRDefault="00F44F80" w:rsidP="00F44F80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976984">
              <w:rPr>
                <w:rFonts w:asciiTheme="minorHAnsi" w:hAnsiTheme="minorHAnsi"/>
                <w:szCs w:val="22"/>
              </w:rPr>
              <w:t>Some respondents still considered it worrisome to go through this exercise annually as their record keeping culture is poor, propose the provision of basic record keeping books/training on record keeping.</w:t>
            </w:r>
          </w:p>
          <w:p w:rsidR="00307166" w:rsidRPr="00976984" w:rsidRDefault="00307166" w:rsidP="00F354F1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976984">
              <w:rPr>
                <w:rFonts w:asciiTheme="minorHAnsi" w:hAnsiTheme="minorHAnsi"/>
                <w:szCs w:val="22"/>
              </w:rPr>
              <w:t>The key observation that runs through all the outlets visited revealed poor record-keeping habits. This was clearly manifested when shop owners were not able to readily provide disaggregated importation/sale data in fulfillment of some key questionnaire demands.</w:t>
            </w:r>
          </w:p>
          <w:p w:rsidR="00307166" w:rsidRPr="00976984" w:rsidRDefault="00307166" w:rsidP="00F354F1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976984">
              <w:rPr>
                <w:rFonts w:asciiTheme="minorHAnsi" w:hAnsiTheme="minorHAnsi"/>
                <w:szCs w:val="22"/>
              </w:rPr>
              <w:t>Distributors and retailers have increased in numbers and are currently widespread making it difficult for the office to reach out to all of them easily.</w:t>
            </w:r>
          </w:p>
          <w:p w:rsidR="00307166" w:rsidRPr="00976984" w:rsidRDefault="00307166" w:rsidP="00F44F80">
            <w:pPr>
              <w:pStyle w:val="BodyTextIndent"/>
              <w:numPr>
                <w:ilvl w:val="0"/>
                <w:numId w:val="0"/>
              </w:numPr>
              <w:ind w:left="720"/>
              <w:rPr>
                <w:lang w:val="en-GB"/>
              </w:rPr>
            </w:pPr>
          </w:p>
        </w:tc>
        <w:bookmarkStart w:id="0" w:name="_GoBack"/>
        <w:bookmarkEnd w:id="0"/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177E44" w:rsidRDefault="00307166" w:rsidP="00F35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  <w:r w:rsidRPr="00DD727D">
              <w:rPr>
                <w:rFonts w:eastAsia="Times New Roman"/>
                <w:b/>
                <w:color w:val="003D80"/>
                <w:lang w:val="en-US" w:bidi="en-US"/>
              </w:rPr>
              <w:t>LESSONS LEARNED AND OPPORTUNITIES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[</w:t>
            </w:r>
            <w:r w:rsidRPr="00DD727D">
              <w:rPr>
                <w:rFonts w:eastAsia="Times New Roman"/>
                <w:i/>
                <w:lang w:val="en-US" w:bidi="en-US"/>
              </w:rPr>
              <w:t>Please describe new understanding or insights gained from project activities that can contribute to improving project implementation and future project design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]</w:t>
            </w:r>
          </w:p>
          <w:p w:rsidR="00307166" w:rsidRPr="00B729F4" w:rsidRDefault="00F44F80" w:rsidP="00F35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rFonts w:eastAsia="Times New Roman"/>
                <w:lang w:val="en-US" w:bidi="en-US"/>
              </w:rPr>
              <w:t xml:space="preserve">With the provision of refrigerant identifiers to the customs, it is expected that </w:t>
            </w:r>
            <w:r w:rsidR="00307166">
              <w:rPr>
                <w:rFonts w:eastAsia="Times New Roman"/>
                <w:lang w:val="en-US" w:bidi="en-US"/>
              </w:rPr>
              <w:t>fake refrigerants</w:t>
            </w:r>
            <w:r>
              <w:rPr>
                <w:rFonts w:eastAsia="Times New Roman"/>
                <w:lang w:val="en-US" w:bidi="en-US"/>
              </w:rPr>
              <w:t xml:space="preserve"> would be identified and isolated helping to reduce the volume of fake refrigerants on the market</w:t>
            </w:r>
            <w:r w:rsidR="00307166">
              <w:rPr>
                <w:rFonts w:eastAsia="Times New Roman"/>
                <w:lang w:val="en-US" w:bidi="en-US"/>
              </w:rPr>
              <w:t>.</w:t>
            </w:r>
          </w:p>
          <w:p w:rsidR="00307166" w:rsidRPr="00177E44" w:rsidRDefault="00307166" w:rsidP="00F35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rFonts w:eastAsia="Times New Roman"/>
                <w:lang w:val="en-GB" w:bidi="en-US"/>
              </w:rPr>
              <w:t>Increase awareness of end –users of refrigerants of the identified marks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177E44" w:rsidRDefault="00307166" w:rsidP="00F354F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Helvetica"/>
                <w:lang w:val="en-US" w:bidi="en-US"/>
              </w:rPr>
            </w:pPr>
            <w:r>
              <w:rPr>
                <w:rFonts w:eastAsia="Times New Roman"/>
                <w:b/>
                <w:color w:val="003D80"/>
                <w:lang w:val="en-GB" w:bidi="en-US"/>
              </w:rPr>
              <w:t xml:space="preserve"> </w:t>
            </w:r>
            <w:r w:rsidRPr="00976984">
              <w:rPr>
                <w:rFonts w:eastAsia="Times New Roman"/>
                <w:b/>
                <w:color w:val="003D80"/>
                <w:lang w:val="en-US" w:bidi="en-US"/>
              </w:rPr>
              <w:t xml:space="preserve">RECOMMENDATIONS AND PROPOSED ACTION </w:t>
            </w:r>
            <w:r w:rsidRPr="00976984">
              <w:rPr>
                <w:rFonts w:eastAsia="Times New Roman"/>
                <w:i/>
                <w:lang w:val="en-US" w:bidi="en-US"/>
              </w:rPr>
              <w:t xml:space="preserve"> [Actions on any matter related to outcome, progress of outputs and corrective measure taken or to be taken with responsibilities time time]</w:t>
            </w:r>
            <w:r w:rsidRPr="00976984">
              <w:rPr>
                <w:rFonts w:eastAsia="Times New Roman" w:cs="Helvetica"/>
                <w:lang w:val="en-US" w:bidi="en-US"/>
              </w:rPr>
              <w:t xml:space="preserve"> </w:t>
            </w:r>
          </w:p>
          <w:p w:rsidR="00307166" w:rsidRDefault="00F44F80" w:rsidP="00F354F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Helvetica"/>
                <w:lang w:val="en-US" w:bidi="en-US"/>
              </w:rPr>
            </w:pPr>
            <w:r>
              <w:rPr>
                <w:rFonts w:eastAsia="Times New Roman" w:cs="Helvetica"/>
                <w:lang w:val="en-US" w:bidi="en-US"/>
              </w:rPr>
              <w:t xml:space="preserve">Continue to encourage retailers of the need to keep </w:t>
            </w:r>
            <w:r w:rsidR="00307166">
              <w:rPr>
                <w:rFonts w:eastAsia="Times New Roman" w:cs="Helvetica"/>
                <w:lang w:val="en-US" w:bidi="en-US"/>
              </w:rPr>
              <w:t>basic record</w:t>
            </w:r>
            <w:r>
              <w:rPr>
                <w:rFonts w:eastAsia="Times New Roman" w:cs="Helvetica"/>
                <w:lang w:val="en-US" w:bidi="en-US"/>
              </w:rPr>
              <w:t xml:space="preserve">s </w:t>
            </w:r>
            <w:r w:rsidR="00307166">
              <w:rPr>
                <w:rFonts w:eastAsia="Times New Roman" w:cs="Helvetica"/>
                <w:lang w:val="en-US" w:bidi="en-US"/>
              </w:rPr>
              <w:t>to enhance the data collection exercise</w:t>
            </w:r>
          </w:p>
          <w:p w:rsidR="00307166" w:rsidRPr="00177E44" w:rsidRDefault="00307166" w:rsidP="00F354F1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Helvetica"/>
                <w:lang w:val="en-US" w:bidi="en-US"/>
              </w:rPr>
            </w:pPr>
            <w:r>
              <w:rPr>
                <w:rFonts w:eastAsia="Times New Roman" w:cs="Helvetica"/>
                <w:lang w:val="en-US" w:bidi="en-US"/>
              </w:rPr>
              <w:t xml:space="preserve">Increase awareness of the general public and end-users of refrigerants of the need to procure </w:t>
            </w:r>
            <w:r>
              <w:rPr>
                <w:rFonts w:eastAsia="Times New Roman" w:cs="Helvetica"/>
                <w:lang w:val="en-US" w:bidi="en-US"/>
              </w:rPr>
              <w:lastRenderedPageBreak/>
              <w:t>refrigerants from accredited agents to help improve on the cases of burnt out refrigerant motors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DD727D" w:rsidRDefault="00307166" w:rsidP="00F44F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eastAsia="Times New Roman"/>
                <w:b/>
                <w:color w:val="003D80"/>
                <w:lang w:val="en-US" w:bidi="en-US"/>
              </w:rPr>
              <w:t>KEY ACTIVITIES FOR 2017</w:t>
            </w:r>
            <w:r w:rsidRPr="00DD727D">
              <w:rPr>
                <w:rFonts w:eastAsia="Times New Roman"/>
                <w:b/>
                <w:color w:val="003D80"/>
                <w:lang w:val="en-US" w:bidi="en-US"/>
              </w:rPr>
              <w:t xml:space="preserve"> 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[</w:t>
            </w:r>
            <w:r w:rsidRPr="00DD727D">
              <w:rPr>
                <w:rFonts w:eastAsia="Times New Roman"/>
                <w:i/>
                <w:lang w:val="en-US" w:bidi="en-US"/>
              </w:rPr>
              <w:t>Please outline key activities planned for 201</w:t>
            </w:r>
            <w:r w:rsidR="00F44F80">
              <w:rPr>
                <w:rFonts w:eastAsia="Times New Roman"/>
                <w:i/>
                <w:lang w:val="en-US" w:bidi="en-US"/>
              </w:rPr>
              <w:t>8</w:t>
            </w:r>
            <w:r w:rsidRPr="00DD727D">
              <w:rPr>
                <w:rFonts w:eastAsia="Times New Roman"/>
                <w:i/>
                <w:color w:val="141413"/>
                <w:lang w:val="en-US" w:bidi="en-US"/>
              </w:rPr>
              <w:t>]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/>
                <w:color w:val="141413"/>
                <w:lang w:val="en-US" w:bidi="en-US"/>
              </w:rPr>
            </w:pPr>
            <w:r>
              <w:rPr>
                <w:rFonts w:eastAsia="Times New Roman"/>
                <w:color w:val="141413"/>
                <w:lang w:val="en-US" w:bidi="en-US"/>
              </w:rPr>
              <w:t>Meeting and consultation s with the project steering committee</w:t>
            </w:r>
          </w:p>
          <w:p w:rsidR="00307166" w:rsidRPr="00C6687F" w:rsidRDefault="00307166" w:rsidP="00F354F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/>
                <w:color w:val="141413"/>
                <w:lang w:val="en-US" w:bidi="en-US"/>
              </w:rPr>
            </w:pPr>
            <w:r>
              <w:rPr>
                <w:rFonts w:eastAsia="Times New Roman"/>
                <w:color w:val="141413"/>
                <w:lang w:val="en-US" w:bidi="en-US"/>
              </w:rPr>
              <w:t xml:space="preserve">ODS data collection for </w:t>
            </w:r>
            <w:r w:rsidR="00DF2542">
              <w:rPr>
                <w:rFonts w:eastAsia="Times New Roman"/>
                <w:color w:val="141413"/>
                <w:lang w:val="en-US" w:bidi="en-US"/>
              </w:rPr>
              <w:t>2017</w:t>
            </w:r>
            <w:r>
              <w:rPr>
                <w:rFonts w:eastAsia="Times New Roman"/>
                <w:color w:val="141413"/>
                <w:lang w:val="en-US" w:bidi="en-US"/>
              </w:rPr>
              <w:t xml:space="preserve"> in fulfilment of MP obligations</w:t>
            </w:r>
          </w:p>
          <w:p w:rsidR="00307166" w:rsidRPr="00C6687F" w:rsidRDefault="00307166" w:rsidP="00F354F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/>
                <w:color w:val="141413"/>
                <w:lang w:val="en-US" w:bidi="en-US"/>
              </w:rPr>
            </w:pPr>
            <w:r>
              <w:rPr>
                <w:rFonts w:eastAsia="Times New Roman"/>
                <w:color w:val="141413"/>
                <w:lang w:val="en-US" w:bidi="en-US"/>
              </w:rPr>
              <w:t>Awareness raising seminars</w:t>
            </w:r>
          </w:p>
          <w:p w:rsidR="00307166" w:rsidRPr="00B729F4" w:rsidRDefault="00307166" w:rsidP="00F354F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/>
                <w:color w:val="141413"/>
                <w:lang w:val="en-GB" w:bidi="en-US"/>
              </w:rPr>
            </w:pPr>
            <w:r w:rsidRPr="00B729F4">
              <w:rPr>
                <w:rFonts w:eastAsia="Times New Roman"/>
                <w:color w:val="141413"/>
                <w:lang w:val="en-US" w:bidi="en-US"/>
              </w:rPr>
              <w:t>Identification of different brands of refrigerants on the market (National)</w:t>
            </w:r>
          </w:p>
          <w:p w:rsidR="00307166" w:rsidRPr="00B729F4" w:rsidRDefault="00307166" w:rsidP="00F354F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/>
                <w:color w:val="141413"/>
                <w:lang w:val="en-GB" w:bidi="en-US"/>
              </w:rPr>
            </w:pPr>
            <w:r w:rsidRPr="00B729F4">
              <w:rPr>
                <w:rFonts w:eastAsia="Times New Roman"/>
                <w:color w:val="141413"/>
                <w:lang w:val="en-US" w:bidi="en-US"/>
              </w:rPr>
              <w:t>Monitoring of refrigeration workshops and cold storage facilities</w:t>
            </w:r>
          </w:p>
        </w:tc>
      </w:tr>
      <w:tr w:rsidR="00307166" w:rsidRPr="00307166" w:rsidTr="00F354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307166" w:rsidP="00F354F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07166" w:rsidRDefault="00307166" w:rsidP="00307166">
      <w:pPr>
        <w:spacing w:line="240" w:lineRule="auto"/>
        <w:rPr>
          <w:lang w:val="en-US"/>
        </w:rPr>
      </w:pPr>
    </w:p>
    <w:p w:rsidR="00307166" w:rsidRPr="006C411B" w:rsidRDefault="00307166" w:rsidP="00307166">
      <w:pPr>
        <w:spacing w:line="240" w:lineRule="auto"/>
        <w:rPr>
          <w:lang w:val="en-US"/>
        </w:rPr>
      </w:pPr>
    </w:p>
    <w:p w:rsidR="00307166" w:rsidRPr="00307166" w:rsidRDefault="00307166">
      <w:pPr>
        <w:rPr>
          <w:lang w:val="en-US"/>
        </w:rPr>
      </w:pPr>
    </w:p>
    <w:sectPr w:rsidR="00307166" w:rsidRPr="0030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DE3"/>
    <w:multiLevelType w:val="hybridMultilevel"/>
    <w:tmpl w:val="C8A05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26"/>
    <w:multiLevelType w:val="hybridMultilevel"/>
    <w:tmpl w:val="1A84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11B"/>
    <w:multiLevelType w:val="hybridMultilevel"/>
    <w:tmpl w:val="8768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E9E"/>
    <w:multiLevelType w:val="hybridMultilevel"/>
    <w:tmpl w:val="2468F7C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6C20"/>
    <w:multiLevelType w:val="hybridMultilevel"/>
    <w:tmpl w:val="A61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6235"/>
    <w:multiLevelType w:val="hybridMultilevel"/>
    <w:tmpl w:val="E51ACD20"/>
    <w:lvl w:ilvl="0" w:tplc="31B0828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66"/>
    <w:rsid w:val="00307166"/>
    <w:rsid w:val="006A2B21"/>
    <w:rsid w:val="006E5A82"/>
    <w:rsid w:val="007B0A88"/>
    <w:rsid w:val="00AF29E1"/>
    <w:rsid w:val="00C64E22"/>
    <w:rsid w:val="00DF2542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BBC7-B0E4-4556-BE02-D3E8C43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66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66"/>
    <w:pPr>
      <w:ind w:left="720"/>
      <w:contextualSpacing/>
    </w:pPr>
  </w:style>
  <w:style w:type="table" w:styleId="TableGrid">
    <w:name w:val="Table Grid"/>
    <w:basedOn w:val="TableNormal"/>
    <w:uiPriority w:val="59"/>
    <w:rsid w:val="0030716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307166"/>
    <w:pPr>
      <w:numPr>
        <w:ilvl w:val="12"/>
      </w:num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7166"/>
    <w:rPr>
      <w:rFonts w:ascii="Arial" w:eastAsia="Times New Roman" w:hAnsi="Arial" w:cs="Times New Roman"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2018-12-28T16:00:00+00:00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00070731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ATLASPDC-4-93401</_dlc_DocId>
    <_dlc_DocIdUrl xmlns="f1161f5b-24a3-4c2d-bc81-44cb9325e8ee">
      <Url>https://info.undp.org/docs/pdc/_layouts/DocIdRedir.aspx?ID=ATLASPDC-4-93401</Url>
      <Description>ATLASPDC-4-93401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8671C91-EDDF-4C46-B862-F9EA97B47CFC}"/>
</file>

<file path=customXml/itemProps2.xml><?xml version="1.0" encoding="utf-8"?>
<ds:datastoreItem xmlns:ds="http://schemas.openxmlformats.org/officeDocument/2006/customXml" ds:itemID="{949511C2-596C-47DF-BB0B-E552BAD50D97}"/>
</file>

<file path=customXml/itemProps3.xml><?xml version="1.0" encoding="utf-8"?>
<ds:datastoreItem xmlns:ds="http://schemas.openxmlformats.org/officeDocument/2006/customXml" ds:itemID="{6585266F-2971-4FAD-BEB0-CA4BDEBB05DC}"/>
</file>

<file path=customXml/itemProps4.xml><?xml version="1.0" encoding="utf-8"?>
<ds:datastoreItem xmlns:ds="http://schemas.openxmlformats.org/officeDocument/2006/customXml" ds:itemID="{F6E8446D-73F6-495A-A1CD-BE4F3565F2B4}"/>
</file>

<file path=customXml/itemProps5.xml><?xml version="1.0" encoding="utf-8"?>
<ds:datastoreItem xmlns:ds="http://schemas.openxmlformats.org/officeDocument/2006/customXml" ds:itemID="{E9F18210-44A4-4698-8BCB-EBD732D85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Kwakye</cp:lastModifiedBy>
  <cp:revision>3</cp:revision>
  <dcterms:created xsi:type="dcterms:W3CDTF">2017-12-12T10:14:00Z</dcterms:created>
  <dcterms:modified xsi:type="dcterms:W3CDTF">2017-12-12T12:05:00Z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1159;#GHA|1d2ea0de-5983-4ca5-a610-838eddc7a0d2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9fb50870-f084-4455-ab3d-f7e5c065f1ed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